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D0" w:rsidRPr="00BB67A4" w:rsidRDefault="00E354D0">
      <w:pPr>
        <w:rPr>
          <w:color w:val="auto"/>
          <w:sz w:val="22"/>
          <w:szCs w:val="22"/>
        </w:rPr>
      </w:pPr>
      <w:bookmarkStart w:id="0" w:name="_GoBack"/>
      <w:bookmarkEnd w:id="0"/>
    </w:p>
    <w:tbl>
      <w:tblPr>
        <w:tblStyle w:val="a"/>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67A4" w:rsidRPr="00BB67A4">
        <w:tc>
          <w:tcPr>
            <w:tcW w:w="8640" w:type="dxa"/>
            <w:shd w:val="clear" w:color="auto" w:fill="auto"/>
            <w:tcMar>
              <w:top w:w="100" w:type="dxa"/>
              <w:left w:w="100" w:type="dxa"/>
              <w:bottom w:w="100" w:type="dxa"/>
              <w:right w:w="100" w:type="dxa"/>
            </w:tcMar>
          </w:tcPr>
          <w:p w:rsidR="00E354D0" w:rsidRPr="00BB67A4" w:rsidRDefault="00AD4485">
            <w:pPr>
              <w:ind w:left="720" w:firstLine="720"/>
              <w:rPr>
                <w:color w:val="auto"/>
                <w:sz w:val="22"/>
                <w:szCs w:val="22"/>
              </w:rPr>
            </w:pPr>
            <w:r w:rsidRPr="00002231">
              <w:rPr>
                <w:noProof/>
              </w:rPr>
              <w:drawing>
                <wp:anchor distT="0" distB="0" distL="114300" distR="114300" simplePos="0" relativeHeight="251658752" behindDoc="0" locked="0" layoutInCell="1" allowOverlap="1" wp14:anchorId="0E775718" wp14:editId="1354F07D">
                  <wp:simplePos x="0" y="0"/>
                  <wp:positionH relativeFrom="margin">
                    <wp:posOffset>-25400</wp:posOffset>
                  </wp:positionH>
                  <wp:positionV relativeFrom="paragraph">
                    <wp:posOffset>67945</wp:posOffset>
                  </wp:positionV>
                  <wp:extent cx="1685925" cy="723900"/>
                  <wp:effectExtent l="0" t="0" r="9525" b="0"/>
                  <wp:wrapNone/>
                  <wp:docPr id="2" name="Picture 2" descr="arcLogo_pms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Logo_pms57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6579" cy="724181"/>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36" w:rsidRPr="00BB67A4">
              <w:rPr>
                <w:color w:val="auto"/>
                <w:sz w:val="22"/>
                <w:szCs w:val="22"/>
              </w:rPr>
              <w:t xml:space="preserve">                        </w:t>
            </w:r>
          </w:p>
          <w:p w:rsidR="00E354D0" w:rsidRPr="00BB67A4" w:rsidRDefault="00E354D0">
            <w:pPr>
              <w:ind w:left="720" w:firstLine="720"/>
              <w:rPr>
                <w:color w:val="auto"/>
                <w:sz w:val="22"/>
                <w:szCs w:val="22"/>
              </w:rPr>
            </w:pPr>
          </w:p>
          <w:p w:rsidR="00E354D0" w:rsidRPr="00BB67A4" w:rsidRDefault="00E354D0">
            <w:pPr>
              <w:ind w:left="720" w:firstLine="720"/>
              <w:rPr>
                <w:color w:val="auto"/>
                <w:sz w:val="22"/>
                <w:szCs w:val="22"/>
              </w:rPr>
            </w:pPr>
          </w:p>
          <w:p w:rsidR="00E354D0" w:rsidRPr="00BB67A4" w:rsidRDefault="00E75A36">
            <w:pPr>
              <w:ind w:left="720" w:firstLine="720"/>
              <w:rPr>
                <w:color w:val="auto"/>
                <w:sz w:val="22"/>
                <w:szCs w:val="22"/>
                <w:u w:val="single"/>
              </w:rPr>
            </w:pPr>
            <w:r w:rsidRPr="00BB67A4">
              <w:rPr>
                <w:color w:val="auto"/>
                <w:sz w:val="22"/>
                <w:szCs w:val="22"/>
              </w:rPr>
              <w:t xml:space="preserve">           </w:t>
            </w:r>
            <w:r w:rsidR="003A7FD8">
              <w:rPr>
                <w:color w:val="auto"/>
                <w:sz w:val="22"/>
                <w:szCs w:val="22"/>
              </w:rPr>
              <w:t xml:space="preserve">         </w:t>
            </w:r>
            <w:r w:rsidR="00AD4485">
              <w:rPr>
                <w:color w:val="auto"/>
                <w:sz w:val="22"/>
                <w:szCs w:val="22"/>
              </w:rPr>
              <w:t xml:space="preserve">                        </w:t>
            </w:r>
            <w:r w:rsidRPr="00BB67A4">
              <w:rPr>
                <w:color w:val="auto"/>
                <w:sz w:val="22"/>
                <w:szCs w:val="22"/>
                <w:u w:val="single"/>
              </w:rPr>
              <w:t>TENDER NOTICE</w:t>
            </w:r>
          </w:p>
          <w:p w:rsidR="00E354D0" w:rsidRPr="00BB67A4" w:rsidRDefault="00E75A36">
            <w:pPr>
              <w:rPr>
                <w:rFonts w:eastAsia="Arial"/>
                <w:color w:val="auto"/>
                <w:sz w:val="22"/>
                <w:szCs w:val="22"/>
              </w:rPr>
            </w:pPr>
            <w:r w:rsidRPr="00BB67A4">
              <w:rPr>
                <w:rFonts w:eastAsia="Arial"/>
                <w:color w:val="auto"/>
                <w:sz w:val="22"/>
                <w:szCs w:val="22"/>
              </w:rPr>
              <w:t xml:space="preserve"> </w:t>
            </w:r>
          </w:p>
          <w:p w:rsidR="00AD4485" w:rsidRPr="00D23D26" w:rsidRDefault="00AD4485" w:rsidP="00AD4485">
            <w:pPr>
              <w:widowControl w:val="0"/>
              <w:autoSpaceDE w:val="0"/>
              <w:autoSpaceDN w:val="0"/>
              <w:adjustRightInd w:val="0"/>
              <w:spacing w:before="120" w:line="200" w:lineRule="atLeast"/>
              <w:jc w:val="both"/>
              <w:rPr>
                <w:color w:val="22211D"/>
              </w:rPr>
            </w:pPr>
            <w:r w:rsidRPr="00D23D26">
              <w:rPr>
                <w:color w:val="22211D"/>
              </w:rPr>
              <w:t>The American Refugee Committee (ARC) is an international humanitarian agency working with refugees, displaced people, and those at risk to help them survive crises and rebuild lives of dignity, health, security and self-sufficiency.</w:t>
            </w:r>
            <w:r>
              <w:rPr>
                <w:color w:val="22211D"/>
              </w:rPr>
              <w:t xml:space="preserve"> </w:t>
            </w:r>
            <w:r w:rsidRPr="00D23D26">
              <w:rPr>
                <w:color w:val="22211D"/>
              </w:rPr>
              <w:t>ARC programs in Africa and Asia provide health care, clean water, shelter repair, legal aid, trauma counseling, microcredit, community development services, and repatriation assistance to two million people, annually. ARC bases its relationship with uprooted peoples on mutual respect and a compassionate exchange of knowledge and values.</w:t>
            </w:r>
          </w:p>
          <w:p w:rsidR="00E354D0" w:rsidRPr="00612BE0" w:rsidRDefault="00E75A36">
            <w:pPr>
              <w:jc w:val="both"/>
              <w:rPr>
                <w:color w:val="auto"/>
                <w:sz w:val="22"/>
                <w:szCs w:val="22"/>
              </w:rPr>
            </w:pPr>
            <w:r w:rsidRPr="00BB67A4">
              <w:rPr>
                <w:color w:val="auto"/>
                <w:sz w:val="22"/>
                <w:szCs w:val="22"/>
              </w:rPr>
              <w:t xml:space="preserve"> </w:t>
            </w:r>
          </w:p>
          <w:p w:rsidR="0098799A" w:rsidRDefault="00AD4485" w:rsidP="0098799A">
            <w:pPr>
              <w:jc w:val="both"/>
              <w:rPr>
                <w:color w:val="22211D"/>
              </w:rPr>
            </w:pPr>
            <w:r>
              <w:rPr>
                <w:color w:val="262626"/>
                <w:sz w:val="22"/>
                <w:szCs w:val="22"/>
                <w:shd w:val="clear" w:color="auto" w:fill="FCFCFC"/>
              </w:rPr>
              <w:t>ARC</w:t>
            </w:r>
            <w:r w:rsidR="005834DC">
              <w:rPr>
                <w:color w:val="262626"/>
                <w:sz w:val="22"/>
                <w:szCs w:val="22"/>
                <w:shd w:val="clear" w:color="auto" w:fill="FCFCFC"/>
              </w:rPr>
              <w:t xml:space="preserve"> </w:t>
            </w:r>
            <w:r w:rsidR="003A5049">
              <w:rPr>
                <w:color w:val="22211D"/>
              </w:rPr>
              <w:t xml:space="preserve">is seeking for potential suppliers with proven experience </w:t>
            </w:r>
            <w:r w:rsidR="004D059E">
              <w:rPr>
                <w:color w:val="22211D"/>
              </w:rPr>
              <w:t>for the following projects</w:t>
            </w:r>
            <w:r w:rsidR="0098799A">
              <w:rPr>
                <w:color w:val="22211D"/>
              </w:rPr>
              <w:t>:</w:t>
            </w:r>
          </w:p>
          <w:p w:rsidR="004D059E" w:rsidRDefault="004D059E" w:rsidP="0098799A">
            <w:pPr>
              <w:jc w:val="both"/>
              <w:rPr>
                <w:color w:val="22211D"/>
              </w:rPr>
            </w:pPr>
          </w:p>
          <w:p w:rsidR="0098799A" w:rsidRPr="004D059E" w:rsidRDefault="0098799A" w:rsidP="007164AF">
            <w:pPr>
              <w:pStyle w:val="ListParagraph"/>
              <w:numPr>
                <w:ilvl w:val="0"/>
                <w:numId w:val="3"/>
              </w:numPr>
              <w:jc w:val="both"/>
              <w:rPr>
                <w:b/>
                <w:color w:val="22211D"/>
              </w:rPr>
            </w:pPr>
            <w:r w:rsidRPr="004D059E">
              <w:rPr>
                <w:b/>
                <w:color w:val="22211D"/>
              </w:rPr>
              <w:t xml:space="preserve"> </w:t>
            </w:r>
            <w:r w:rsidR="00AC1F59">
              <w:rPr>
                <w:b/>
              </w:rPr>
              <w:t>Install foot</w:t>
            </w:r>
            <w:r w:rsidR="00157582">
              <w:rPr>
                <w:b/>
              </w:rPr>
              <w:t xml:space="preserve"> operated hand washing facility in </w:t>
            </w:r>
            <w:r w:rsidR="007164AF">
              <w:rPr>
                <w:b/>
              </w:rPr>
              <w:t>South DARFUR</w:t>
            </w:r>
            <w:r w:rsidR="00764E4C">
              <w:rPr>
                <w:b/>
              </w:rPr>
              <w:t>.</w:t>
            </w:r>
          </w:p>
          <w:p w:rsidR="004D059E" w:rsidRPr="004D059E" w:rsidRDefault="004D059E" w:rsidP="004D059E">
            <w:pPr>
              <w:pStyle w:val="ListParagraph"/>
              <w:ind w:left="420"/>
              <w:jc w:val="both"/>
              <w:rPr>
                <w:b/>
                <w:color w:val="22211D"/>
              </w:rPr>
            </w:pPr>
          </w:p>
          <w:p w:rsidR="00764E4C" w:rsidRPr="00764E4C" w:rsidRDefault="00764E4C" w:rsidP="00764E4C">
            <w:pPr>
              <w:pStyle w:val="ListParagraph"/>
              <w:rPr>
                <w:b/>
                <w:color w:val="22211D"/>
              </w:rPr>
            </w:pPr>
          </w:p>
          <w:p w:rsidR="00BD022A" w:rsidRDefault="00226BBC" w:rsidP="00BD022A">
            <w:pPr>
              <w:widowControl w:val="0"/>
              <w:jc w:val="both"/>
              <w:rPr>
                <w:color w:val="auto"/>
              </w:rPr>
            </w:pPr>
            <w:r w:rsidRPr="00BB67A4">
              <w:rPr>
                <w:color w:val="auto"/>
                <w:sz w:val="22"/>
                <w:szCs w:val="22"/>
              </w:rPr>
              <w:t>Tender p</w:t>
            </w:r>
            <w:r w:rsidR="0049599E">
              <w:rPr>
                <w:color w:val="auto"/>
                <w:sz w:val="22"/>
                <w:szCs w:val="22"/>
              </w:rPr>
              <w:t>ackages can be picked up at</w:t>
            </w:r>
            <w:r w:rsidR="00AD4485">
              <w:rPr>
                <w:color w:val="auto"/>
                <w:sz w:val="22"/>
                <w:szCs w:val="22"/>
              </w:rPr>
              <w:t xml:space="preserve">: </w:t>
            </w:r>
            <w:r w:rsidR="00BD022A">
              <w:t xml:space="preserve">ARC office in Nyala </w:t>
            </w:r>
            <w:r w:rsidR="00BD022A" w:rsidRPr="00BD022A">
              <w:rPr>
                <w:color w:val="auto"/>
              </w:rPr>
              <w:t>Hay El-cinema Building #1/1, Plot# 5D, Nyala, Meeting Avenue.</w:t>
            </w:r>
          </w:p>
          <w:p w:rsidR="00157582" w:rsidRPr="00BD022A" w:rsidRDefault="00157582" w:rsidP="00BD022A">
            <w:pPr>
              <w:widowControl w:val="0"/>
              <w:jc w:val="both"/>
              <w:rPr>
                <w:color w:val="auto"/>
              </w:rPr>
            </w:pPr>
            <w:r>
              <w:rPr>
                <w:color w:val="auto"/>
              </w:rPr>
              <w:t xml:space="preserve">Or in Khartoum ARC office </w:t>
            </w:r>
            <w:proofErr w:type="spellStart"/>
            <w:r w:rsidRPr="00A47000">
              <w:t>Arkwit</w:t>
            </w:r>
            <w:proofErr w:type="spellEnd"/>
            <w:r w:rsidRPr="00A47000">
              <w:t xml:space="preserve"> Block 57, House 19 </w:t>
            </w:r>
            <w:proofErr w:type="spellStart"/>
            <w:r w:rsidRPr="00A47000">
              <w:t>Alsalam</w:t>
            </w:r>
            <w:proofErr w:type="spellEnd"/>
            <w:r w:rsidRPr="00A47000">
              <w:t xml:space="preserve"> street</w:t>
            </w:r>
          </w:p>
          <w:p w:rsidR="00AD4485" w:rsidRDefault="00BD022A" w:rsidP="00AD4485">
            <w:pPr>
              <w:widowControl w:val="0"/>
              <w:jc w:val="both"/>
            </w:pPr>
            <w:r>
              <w:t xml:space="preserve"> </w:t>
            </w:r>
            <w:r w:rsidR="00AD4485" w:rsidRPr="00A47000">
              <w:t xml:space="preserve">: </w:t>
            </w:r>
          </w:p>
          <w:p w:rsidR="00252A8B" w:rsidRDefault="00AD4485" w:rsidP="00252A8B">
            <w:pPr>
              <w:widowControl w:val="0"/>
            </w:pPr>
            <w:r>
              <w:rPr>
                <w:color w:val="auto"/>
                <w:sz w:val="22"/>
                <w:szCs w:val="22"/>
              </w:rPr>
              <w:t xml:space="preserve"> </w:t>
            </w:r>
            <w:r w:rsidR="00BD022A">
              <w:rPr>
                <w:color w:val="auto"/>
                <w:sz w:val="22"/>
                <w:szCs w:val="22"/>
              </w:rPr>
              <w:t xml:space="preserve"> O</w:t>
            </w:r>
            <w:r w:rsidR="00226BBC" w:rsidRPr="00BB67A4">
              <w:rPr>
                <w:color w:val="auto"/>
                <w:sz w:val="22"/>
                <w:szCs w:val="22"/>
              </w:rPr>
              <w:t>r by submitting a request to the following e-mail address:</w:t>
            </w:r>
            <w:r w:rsidR="00226BBC" w:rsidRPr="00BB02AA">
              <w:t xml:space="preserve"> </w:t>
            </w:r>
            <w:hyperlink r:id="rId8" w:history="1">
              <w:r w:rsidRPr="00B86A95">
                <w:rPr>
                  <w:rStyle w:val="Hyperlink"/>
                </w:rPr>
                <w:t>sudantenders@arcrelief.org</w:t>
              </w:r>
            </w:hyperlink>
            <w:r>
              <w:t xml:space="preserve"> </w:t>
            </w:r>
          </w:p>
          <w:p w:rsidR="00EB307C" w:rsidRDefault="00EB307C" w:rsidP="00252A8B">
            <w:pPr>
              <w:widowControl w:val="0"/>
              <w:rPr>
                <w:color w:val="auto"/>
              </w:rPr>
            </w:pPr>
          </w:p>
          <w:p w:rsidR="00E354D0" w:rsidRPr="00DD0FDF" w:rsidRDefault="00226BBC" w:rsidP="00157582">
            <w:pPr>
              <w:widowControl w:val="0"/>
              <w:rPr>
                <w:b/>
                <w:color w:val="auto"/>
                <w:sz w:val="22"/>
                <w:szCs w:val="22"/>
              </w:rPr>
            </w:pPr>
            <w:r>
              <w:rPr>
                <w:color w:val="auto"/>
                <w:sz w:val="22"/>
                <w:szCs w:val="22"/>
              </w:rPr>
              <w:t xml:space="preserve">The deadline for submission is </w:t>
            </w:r>
            <w:r w:rsidR="00157582">
              <w:rPr>
                <w:b/>
              </w:rPr>
              <w:t>3</w:t>
            </w:r>
            <w:r w:rsidR="00157582" w:rsidRPr="00157582">
              <w:rPr>
                <w:b/>
                <w:vertAlign w:val="superscript"/>
              </w:rPr>
              <w:t>rd</w:t>
            </w:r>
            <w:r w:rsidR="00157582">
              <w:rPr>
                <w:b/>
              </w:rPr>
              <w:t xml:space="preserve"> December</w:t>
            </w:r>
            <w:r w:rsidR="003A5049" w:rsidRPr="003172E3">
              <w:rPr>
                <w:b/>
              </w:rPr>
              <w:t xml:space="preserve"> 20</w:t>
            </w:r>
            <w:r w:rsidR="00015336">
              <w:rPr>
                <w:b/>
              </w:rPr>
              <w:t>20</w:t>
            </w:r>
            <w:r w:rsidR="003A5049" w:rsidRPr="003172E3">
              <w:rPr>
                <w:b/>
              </w:rPr>
              <w:t xml:space="preserve"> at 15:00</w:t>
            </w:r>
          </w:p>
          <w:p w:rsidR="00E354D0" w:rsidRPr="00BB67A4" w:rsidRDefault="00E75A36">
            <w:pPr>
              <w:jc w:val="both"/>
              <w:rPr>
                <w:color w:val="auto"/>
                <w:sz w:val="22"/>
                <w:szCs w:val="22"/>
              </w:rPr>
            </w:pPr>
            <w:r w:rsidRPr="00BB67A4">
              <w:rPr>
                <w:color w:val="auto"/>
                <w:sz w:val="22"/>
                <w:szCs w:val="22"/>
              </w:rPr>
              <w:t xml:space="preserve"> </w:t>
            </w:r>
          </w:p>
          <w:p w:rsidR="00E354D0" w:rsidRPr="00BB67A4" w:rsidRDefault="00E75A36">
            <w:pPr>
              <w:jc w:val="both"/>
              <w:rPr>
                <w:color w:val="auto"/>
                <w:sz w:val="22"/>
                <w:szCs w:val="22"/>
              </w:rPr>
            </w:pPr>
            <w:r w:rsidRPr="00BB67A4">
              <w:rPr>
                <w:i/>
                <w:color w:val="auto"/>
                <w:sz w:val="22"/>
                <w:szCs w:val="22"/>
              </w:rPr>
              <w:t>Only tenders submitted in prescribed form and deadlines will be considered. Only legally registered firms will be considered.</w:t>
            </w:r>
          </w:p>
        </w:tc>
      </w:tr>
      <w:tr w:rsidR="00BB67A4" w:rsidRPr="00BB67A4">
        <w:tc>
          <w:tcPr>
            <w:tcW w:w="8640" w:type="dxa"/>
            <w:shd w:val="clear" w:color="auto" w:fill="auto"/>
            <w:tcMar>
              <w:top w:w="100" w:type="dxa"/>
              <w:left w:w="100" w:type="dxa"/>
              <w:bottom w:w="100" w:type="dxa"/>
              <w:right w:w="100" w:type="dxa"/>
            </w:tcMar>
          </w:tcPr>
          <w:p w:rsidR="003A7FD8" w:rsidRDefault="00612BE0" w:rsidP="00AC3341">
            <w:pPr>
              <w:widowControl w:val="0"/>
              <w:rPr>
                <w:color w:val="auto"/>
                <w:sz w:val="22"/>
                <w:szCs w:val="22"/>
              </w:rPr>
            </w:pPr>
            <w:r>
              <w:rPr>
                <w:color w:val="auto"/>
                <w:sz w:val="22"/>
                <w:szCs w:val="22"/>
              </w:rPr>
              <w:t>The</w:t>
            </w:r>
            <w:r w:rsidR="0040704C">
              <w:rPr>
                <w:color w:val="auto"/>
                <w:sz w:val="22"/>
                <w:szCs w:val="22"/>
              </w:rPr>
              <w:t xml:space="preserve"> T</w:t>
            </w:r>
            <w:r w:rsidR="00E75A36" w:rsidRPr="00BB67A4">
              <w:rPr>
                <w:color w:val="auto"/>
                <w:sz w:val="22"/>
                <w:szCs w:val="22"/>
              </w:rPr>
              <w:t>ender</w:t>
            </w:r>
            <w:r w:rsidR="0040704C">
              <w:rPr>
                <w:color w:val="auto"/>
                <w:sz w:val="22"/>
                <w:szCs w:val="22"/>
              </w:rPr>
              <w:t xml:space="preserve"> package</w:t>
            </w:r>
            <w:r w:rsidR="00E75A36" w:rsidRPr="00BB67A4">
              <w:rPr>
                <w:color w:val="auto"/>
                <w:sz w:val="22"/>
                <w:szCs w:val="22"/>
              </w:rPr>
              <w:t xml:space="preserve"> should be submitted </w:t>
            </w:r>
            <w:r w:rsidR="003A7FD8" w:rsidRPr="00BB67A4">
              <w:rPr>
                <w:color w:val="auto"/>
                <w:sz w:val="22"/>
                <w:szCs w:val="22"/>
              </w:rPr>
              <w:t>in</w:t>
            </w:r>
            <w:r w:rsidR="0040704C">
              <w:rPr>
                <w:color w:val="auto"/>
                <w:sz w:val="22"/>
                <w:szCs w:val="22"/>
              </w:rPr>
              <w:t xml:space="preserve"> a</w:t>
            </w:r>
            <w:r w:rsidR="003A7FD8" w:rsidRPr="00BB67A4">
              <w:rPr>
                <w:color w:val="auto"/>
                <w:sz w:val="22"/>
                <w:szCs w:val="22"/>
              </w:rPr>
              <w:t xml:space="preserve"> </w:t>
            </w:r>
            <w:r w:rsidR="003A7FD8">
              <w:rPr>
                <w:color w:val="auto"/>
                <w:sz w:val="22"/>
                <w:szCs w:val="22"/>
              </w:rPr>
              <w:t>sealed envelope</w:t>
            </w:r>
            <w:r w:rsidR="00AC3341">
              <w:rPr>
                <w:color w:val="auto"/>
                <w:sz w:val="22"/>
                <w:szCs w:val="22"/>
              </w:rPr>
              <w:t xml:space="preserve"> and</w:t>
            </w:r>
            <w:r w:rsidR="00E75A36" w:rsidRPr="00BB67A4">
              <w:rPr>
                <w:color w:val="auto"/>
                <w:sz w:val="22"/>
                <w:szCs w:val="22"/>
              </w:rPr>
              <w:t xml:space="preserve"> clearly marked:</w:t>
            </w:r>
            <w:r w:rsidR="00AC3341">
              <w:rPr>
                <w:color w:val="auto"/>
                <w:sz w:val="22"/>
                <w:szCs w:val="22"/>
              </w:rPr>
              <w:t xml:space="preserve"> </w:t>
            </w:r>
          </w:p>
          <w:p w:rsidR="00E354D0" w:rsidRPr="00150503" w:rsidRDefault="00AD4485" w:rsidP="007164AF">
            <w:pPr>
              <w:widowControl w:val="0"/>
              <w:rPr>
                <w:color w:val="auto"/>
                <w:sz w:val="22"/>
                <w:szCs w:val="22"/>
              </w:rPr>
            </w:pPr>
            <w:r>
              <w:rPr>
                <w:color w:val="auto"/>
                <w:sz w:val="22"/>
                <w:szCs w:val="22"/>
              </w:rPr>
              <w:t>ARC-</w:t>
            </w:r>
            <w:r w:rsidR="00157582">
              <w:rPr>
                <w:color w:val="auto"/>
                <w:sz w:val="22"/>
                <w:szCs w:val="22"/>
              </w:rPr>
              <w:t>SUD-2020/ 1376</w:t>
            </w:r>
          </w:p>
        </w:tc>
      </w:tr>
    </w:tbl>
    <w:p w:rsidR="00E354D0" w:rsidRPr="00BB67A4" w:rsidRDefault="00E354D0">
      <w:pPr>
        <w:rPr>
          <w:color w:val="auto"/>
          <w:sz w:val="22"/>
          <w:szCs w:val="22"/>
        </w:rPr>
      </w:pPr>
    </w:p>
    <w:p w:rsidR="00E354D0" w:rsidRPr="00BB67A4" w:rsidRDefault="00E354D0">
      <w:pPr>
        <w:rPr>
          <w:color w:val="auto"/>
          <w:sz w:val="22"/>
          <w:szCs w:val="22"/>
        </w:rPr>
      </w:pPr>
    </w:p>
    <w:p w:rsidR="00E354D0" w:rsidRPr="00BB67A4" w:rsidRDefault="00E354D0">
      <w:pPr>
        <w:rPr>
          <w:color w:val="auto"/>
          <w:sz w:val="22"/>
          <w:szCs w:val="22"/>
        </w:rPr>
      </w:pPr>
    </w:p>
    <w:p w:rsidR="00E354D0" w:rsidRPr="00BB67A4" w:rsidRDefault="00E354D0">
      <w:pPr>
        <w:rPr>
          <w:color w:val="auto"/>
          <w:sz w:val="22"/>
          <w:szCs w:val="22"/>
        </w:rPr>
      </w:pPr>
    </w:p>
    <w:p w:rsidR="00E354D0" w:rsidRPr="00BB67A4" w:rsidRDefault="00E75A36">
      <w:pPr>
        <w:tabs>
          <w:tab w:val="left" w:pos="4785"/>
        </w:tabs>
        <w:rPr>
          <w:color w:val="auto"/>
          <w:sz w:val="22"/>
          <w:szCs w:val="22"/>
        </w:rPr>
      </w:pPr>
      <w:r w:rsidRPr="00BB67A4">
        <w:rPr>
          <w:color w:val="auto"/>
          <w:sz w:val="22"/>
          <w:szCs w:val="22"/>
        </w:rPr>
        <w:tab/>
      </w:r>
    </w:p>
    <w:sectPr w:rsidR="00E354D0" w:rsidRPr="00BB67A4">
      <w:head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4D" w:rsidRDefault="0085224D">
      <w:r>
        <w:separator/>
      </w:r>
    </w:p>
  </w:endnote>
  <w:endnote w:type="continuationSeparator" w:id="0">
    <w:p w:rsidR="0085224D" w:rsidRDefault="0085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4D" w:rsidRDefault="0085224D">
      <w:r>
        <w:separator/>
      </w:r>
    </w:p>
  </w:footnote>
  <w:footnote w:type="continuationSeparator" w:id="0">
    <w:p w:rsidR="0085224D" w:rsidRDefault="00852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D0" w:rsidRDefault="00E354D0"/>
  <w:p w:rsidR="00E354D0" w:rsidRDefault="00E354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5228"/>
    <w:multiLevelType w:val="hybridMultilevel"/>
    <w:tmpl w:val="D1622A7A"/>
    <w:lvl w:ilvl="0" w:tplc="347C007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A6A92"/>
    <w:multiLevelType w:val="hybridMultilevel"/>
    <w:tmpl w:val="2A72E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85DE5"/>
    <w:multiLevelType w:val="hybridMultilevel"/>
    <w:tmpl w:val="AB1CE19C"/>
    <w:lvl w:ilvl="0" w:tplc="3C4C97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D0"/>
    <w:rsid w:val="00015336"/>
    <w:rsid w:val="0005147F"/>
    <w:rsid w:val="000728A7"/>
    <w:rsid w:val="000B594F"/>
    <w:rsid w:val="000B6151"/>
    <w:rsid w:val="000D2175"/>
    <w:rsid w:val="00123CCD"/>
    <w:rsid w:val="00127CD6"/>
    <w:rsid w:val="00150503"/>
    <w:rsid w:val="00157582"/>
    <w:rsid w:val="001D08AB"/>
    <w:rsid w:val="00216434"/>
    <w:rsid w:val="00226BBC"/>
    <w:rsid w:val="00236CF1"/>
    <w:rsid w:val="00252A8B"/>
    <w:rsid w:val="002705FB"/>
    <w:rsid w:val="00295F4E"/>
    <w:rsid w:val="002C348D"/>
    <w:rsid w:val="002F233C"/>
    <w:rsid w:val="003A5049"/>
    <w:rsid w:val="003A7FD8"/>
    <w:rsid w:val="0040704C"/>
    <w:rsid w:val="0049599E"/>
    <w:rsid w:val="004B5333"/>
    <w:rsid w:val="004D059E"/>
    <w:rsid w:val="004F0E9D"/>
    <w:rsid w:val="005041D6"/>
    <w:rsid w:val="005569E2"/>
    <w:rsid w:val="005834DC"/>
    <w:rsid w:val="00612BE0"/>
    <w:rsid w:val="006504B5"/>
    <w:rsid w:val="00713EB1"/>
    <w:rsid w:val="007164AF"/>
    <w:rsid w:val="0072106A"/>
    <w:rsid w:val="00760EEC"/>
    <w:rsid w:val="00764648"/>
    <w:rsid w:val="00764E4C"/>
    <w:rsid w:val="007B4D88"/>
    <w:rsid w:val="0085224D"/>
    <w:rsid w:val="008F6449"/>
    <w:rsid w:val="009412EF"/>
    <w:rsid w:val="00984B9B"/>
    <w:rsid w:val="0098799A"/>
    <w:rsid w:val="00990514"/>
    <w:rsid w:val="009C2F4E"/>
    <w:rsid w:val="00AC1F59"/>
    <w:rsid w:val="00AC3341"/>
    <w:rsid w:val="00AD4485"/>
    <w:rsid w:val="00B021E2"/>
    <w:rsid w:val="00B87A98"/>
    <w:rsid w:val="00BB44C0"/>
    <w:rsid w:val="00BB67A4"/>
    <w:rsid w:val="00BC54DB"/>
    <w:rsid w:val="00BD022A"/>
    <w:rsid w:val="00C217F3"/>
    <w:rsid w:val="00C40280"/>
    <w:rsid w:val="00C5038A"/>
    <w:rsid w:val="00CA1C4C"/>
    <w:rsid w:val="00CC16E4"/>
    <w:rsid w:val="00CD3820"/>
    <w:rsid w:val="00CE0E81"/>
    <w:rsid w:val="00D21CDC"/>
    <w:rsid w:val="00D5736E"/>
    <w:rsid w:val="00D6565C"/>
    <w:rsid w:val="00D779A3"/>
    <w:rsid w:val="00DD0FDF"/>
    <w:rsid w:val="00E021E8"/>
    <w:rsid w:val="00E354D0"/>
    <w:rsid w:val="00E75A36"/>
    <w:rsid w:val="00E8434B"/>
    <w:rsid w:val="00E925DC"/>
    <w:rsid w:val="00EB307C"/>
    <w:rsid w:val="00ED4D40"/>
    <w:rsid w:val="00F06EB0"/>
    <w:rsid w:val="00F229F8"/>
    <w:rsid w:val="00F92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9B6C"/>
  <w15:docId w15:val="{F17BFE33-4081-49DC-A0A1-250CAD08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rFonts w:ascii="CG Times" w:eastAsia="CG Times" w:hAnsi="CG Times" w:cs="CG 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B4D88"/>
    <w:pPr>
      <w:ind w:left="720"/>
      <w:contextualSpacing/>
    </w:pPr>
  </w:style>
  <w:style w:type="character" w:styleId="Hyperlink">
    <w:name w:val="Hyperlink"/>
    <w:basedOn w:val="DefaultParagraphFont"/>
    <w:uiPriority w:val="99"/>
    <w:unhideWhenUsed/>
    <w:rsid w:val="00BB67A4"/>
    <w:rPr>
      <w:color w:val="0563C1" w:themeColor="hyperlink"/>
      <w:u w:val="single"/>
    </w:rPr>
  </w:style>
  <w:style w:type="paragraph" w:styleId="BalloonText">
    <w:name w:val="Balloon Text"/>
    <w:basedOn w:val="Normal"/>
    <w:link w:val="BalloonTextChar"/>
    <w:uiPriority w:val="99"/>
    <w:semiHidden/>
    <w:unhideWhenUsed/>
    <w:rsid w:val="00BD0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s@arcrelie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Shuhrat</dc:creator>
  <cp:lastModifiedBy>Ahmed El Dukheiri</cp:lastModifiedBy>
  <cp:revision>3</cp:revision>
  <cp:lastPrinted>2020-11-16T10:44:00Z</cp:lastPrinted>
  <dcterms:created xsi:type="dcterms:W3CDTF">2020-11-22T13:32:00Z</dcterms:created>
  <dcterms:modified xsi:type="dcterms:W3CDTF">2020-11-22T13:33:00Z</dcterms:modified>
</cp:coreProperties>
</file>